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19D3" w14:textId="77777777" w:rsidR="00BE6800" w:rsidRPr="00CA7A33" w:rsidRDefault="00BE6800" w:rsidP="00CA7A33">
      <w:pPr>
        <w:jc w:val="center"/>
        <w:rPr>
          <w:b/>
          <w:bCs/>
          <w:szCs w:val="24"/>
          <w:lang w:val="en-US"/>
        </w:rPr>
      </w:pPr>
    </w:p>
    <w:p w14:paraId="26FA89AC" w14:textId="77777777" w:rsidR="00BE6800" w:rsidRPr="00CA7A33" w:rsidRDefault="00BE6800" w:rsidP="00CA7A33">
      <w:pPr>
        <w:jc w:val="center"/>
        <w:rPr>
          <w:b/>
          <w:bCs/>
          <w:szCs w:val="24"/>
          <w:lang w:val="en-US"/>
        </w:rPr>
      </w:pPr>
    </w:p>
    <w:p w14:paraId="7480530A" w14:textId="77777777" w:rsidR="00BE6800" w:rsidRPr="00CA7A33" w:rsidRDefault="00BE6800" w:rsidP="00CA7A33">
      <w:pPr>
        <w:jc w:val="center"/>
        <w:rPr>
          <w:b/>
          <w:bCs/>
          <w:szCs w:val="24"/>
          <w:lang w:val="en-US"/>
        </w:rPr>
      </w:pPr>
    </w:p>
    <w:p w14:paraId="79FE9260" w14:textId="77777777" w:rsidR="00BE6800" w:rsidRPr="00CA7A33" w:rsidRDefault="00BE6800" w:rsidP="00CA7A33">
      <w:pPr>
        <w:jc w:val="center"/>
        <w:rPr>
          <w:b/>
          <w:bCs/>
          <w:szCs w:val="24"/>
          <w:lang w:val="en-US"/>
        </w:rPr>
      </w:pPr>
    </w:p>
    <w:p w14:paraId="1A51E459" w14:textId="77777777" w:rsidR="00792990" w:rsidRPr="00CA7A33" w:rsidRDefault="00792990" w:rsidP="00792990">
      <w:pPr>
        <w:jc w:val="center"/>
        <w:rPr>
          <w:b/>
          <w:bCs/>
          <w:szCs w:val="24"/>
          <w:lang w:val="en-US"/>
        </w:rPr>
      </w:pPr>
      <w:r w:rsidRPr="00CA7A33">
        <w:rPr>
          <w:b/>
          <w:bCs/>
          <w:szCs w:val="24"/>
          <w:lang w:val="en-US"/>
        </w:rPr>
        <w:t xml:space="preserve">Forensic Interview/Interrogation  </w:t>
      </w:r>
    </w:p>
    <w:p w14:paraId="2E8A5C90" w14:textId="77777777" w:rsidR="00BE6800" w:rsidRPr="00CA7A33" w:rsidRDefault="00BE6800" w:rsidP="00CA7A33">
      <w:pPr>
        <w:jc w:val="center"/>
        <w:rPr>
          <w:b/>
          <w:bCs/>
          <w:szCs w:val="24"/>
          <w:lang w:val="en-US"/>
        </w:rPr>
      </w:pPr>
    </w:p>
    <w:p w14:paraId="0D0DDA14" w14:textId="77777777" w:rsidR="00BE6800" w:rsidRPr="00CA7A33" w:rsidRDefault="00BE6800" w:rsidP="00CA7A33">
      <w:pPr>
        <w:jc w:val="center"/>
        <w:rPr>
          <w:szCs w:val="24"/>
          <w:lang w:val="en-US"/>
        </w:rPr>
      </w:pPr>
      <w:r w:rsidRPr="00CA7A33">
        <w:rPr>
          <w:szCs w:val="24"/>
          <w:lang w:val="en-US"/>
        </w:rPr>
        <w:t xml:space="preserve">Author </w:t>
      </w:r>
    </w:p>
    <w:p w14:paraId="6773FBF8" w14:textId="77777777" w:rsidR="00BE6800" w:rsidRPr="00CA7A33" w:rsidRDefault="00BE6800" w:rsidP="00CA7A33">
      <w:pPr>
        <w:jc w:val="center"/>
        <w:rPr>
          <w:szCs w:val="24"/>
          <w:lang w:val="en-US"/>
        </w:rPr>
      </w:pPr>
      <w:r w:rsidRPr="00CA7A33">
        <w:rPr>
          <w:szCs w:val="24"/>
          <w:lang w:val="en-US"/>
        </w:rPr>
        <w:t xml:space="preserve">Institutional </w:t>
      </w:r>
      <w:r w:rsidR="007B4951" w:rsidRPr="00CA7A33">
        <w:rPr>
          <w:szCs w:val="24"/>
          <w:lang w:val="en-US"/>
        </w:rPr>
        <w:t>Affiliation</w:t>
      </w:r>
      <w:r w:rsidRPr="00CA7A33">
        <w:rPr>
          <w:szCs w:val="24"/>
          <w:lang w:val="en-US"/>
        </w:rPr>
        <w:t xml:space="preserve"> </w:t>
      </w:r>
    </w:p>
    <w:p w14:paraId="6796369A" w14:textId="77777777" w:rsidR="00BE6800" w:rsidRPr="00CA7A33" w:rsidRDefault="00BE6800" w:rsidP="00CA7A33">
      <w:pPr>
        <w:jc w:val="center"/>
        <w:rPr>
          <w:szCs w:val="24"/>
          <w:lang w:val="en-US"/>
        </w:rPr>
      </w:pPr>
      <w:r w:rsidRPr="00CA7A33">
        <w:rPr>
          <w:szCs w:val="24"/>
          <w:lang w:val="en-US"/>
        </w:rPr>
        <w:t>Course</w:t>
      </w:r>
    </w:p>
    <w:p w14:paraId="08B9A62A" w14:textId="77777777" w:rsidR="00BE6800" w:rsidRPr="00CA7A33" w:rsidRDefault="00BE6800" w:rsidP="00CA7A33">
      <w:pPr>
        <w:jc w:val="center"/>
        <w:rPr>
          <w:szCs w:val="24"/>
          <w:lang w:val="en-US"/>
        </w:rPr>
      </w:pPr>
      <w:r w:rsidRPr="00CA7A33">
        <w:rPr>
          <w:szCs w:val="24"/>
          <w:lang w:val="en-US"/>
        </w:rPr>
        <w:t>Instructor</w:t>
      </w:r>
    </w:p>
    <w:p w14:paraId="5528422B" w14:textId="77777777" w:rsidR="002E5B60" w:rsidRPr="00CA7A33" w:rsidRDefault="00BE6800" w:rsidP="00CA7A33">
      <w:pPr>
        <w:jc w:val="center"/>
        <w:rPr>
          <w:szCs w:val="24"/>
          <w:lang w:val="en-US"/>
        </w:rPr>
      </w:pPr>
      <w:r w:rsidRPr="00CA7A33">
        <w:rPr>
          <w:szCs w:val="24"/>
          <w:lang w:val="en-US"/>
        </w:rPr>
        <w:t>Due Date</w:t>
      </w:r>
    </w:p>
    <w:p w14:paraId="047F4C35" w14:textId="77777777" w:rsidR="002E5B60" w:rsidRPr="00CA7A33" w:rsidRDefault="002E5B60" w:rsidP="00CA7A33">
      <w:pPr>
        <w:rPr>
          <w:szCs w:val="24"/>
          <w:lang w:val="en-US"/>
        </w:rPr>
      </w:pPr>
      <w:r w:rsidRPr="00CA7A33">
        <w:rPr>
          <w:szCs w:val="24"/>
          <w:lang w:val="en-US"/>
        </w:rPr>
        <w:br w:type="page"/>
      </w:r>
    </w:p>
    <w:p w14:paraId="229B45E7" w14:textId="2A4C1B48" w:rsidR="00547262" w:rsidRPr="00CA7A33" w:rsidRDefault="00CA7A33" w:rsidP="00CA7A33">
      <w:pPr>
        <w:jc w:val="center"/>
        <w:rPr>
          <w:b/>
          <w:bCs/>
          <w:szCs w:val="24"/>
          <w:lang w:val="en-US"/>
        </w:rPr>
      </w:pPr>
      <w:r w:rsidRPr="00CA7A33">
        <w:rPr>
          <w:b/>
          <w:bCs/>
          <w:szCs w:val="24"/>
          <w:lang w:val="en-US"/>
        </w:rPr>
        <w:t xml:space="preserve">Forensic Interview/Interrogation  </w:t>
      </w:r>
    </w:p>
    <w:p w14:paraId="1E7B5D9C"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In a legal environment, such as a criminal trial, forensic interviewing gathers evidence from a suspect or witness. It is a central feature of many protection programs, notably infant inquiries. Typically, such interviews aim to collect enough accurate details about the subjects under investigation in a legally defensible and cognitively reasonable way (Newlin et al., 2015) about the case at hand. In many instances, professionals such as child protection social workers, police agencies, and specialized forensic interviewers at children's support institutions perform forensic interviews.</w:t>
      </w:r>
    </w:p>
    <w:p w14:paraId="7DC2E071" w14:textId="6D280020" w:rsidR="00CA7A33" w:rsidRP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 </w:t>
      </w:r>
      <w:r>
        <w:rPr>
          <w:color w:val="0E101A"/>
          <w:sz w:val="24"/>
          <w:szCs w:val="24"/>
        </w:rPr>
        <w:tab/>
      </w:r>
      <w:r w:rsidRPr="00CA7A33">
        <w:rPr>
          <w:color w:val="0E101A"/>
          <w:sz w:val="24"/>
          <w:szCs w:val="24"/>
        </w:rPr>
        <w:t>Because forensic interviewers are often part of a multidisciplinary team investigating a crime, this research discussion is a reference for welfare practitioners with an in-depth analysis of forensic interviewing to fully understand how such interviews impact their subjects during the practice. It is worth noting that, in recent times, the way subjects are interviewed during forensic investigations has been subject to increased scrutiny (Faller, 2015). Reasonable interviewing methods and tactics, issues relating to ethical and legal guidance of interviewers and interviewers, focus on the relevance of physical demeanor of physical acts during interviews or interrogations, and full emphasis on legal questioning techniques or strategies, must be of key focus when it comes to forensic interviewing issues. </w:t>
      </w:r>
    </w:p>
    <w:p w14:paraId="382946C9"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Lawful interrogation techniques/strategies</w:t>
      </w:r>
    </w:p>
    <w:p w14:paraId="228D710D"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It implies asking the appropriate questions. All forensic interviewing models aim to avoid the use of pointed questions or strategies. However, they can differ to a certain extent as to which kinds of questions are the most favored. There is indeed a presumption that open-ended questions (a problem that calls for a lengthy, multi-word response, like "Say us what occurred") are preferable compared to closed-ended questions (for instance, those questions that receive a one-word answer or little detail, such as "Did the bus arrive on time ?") However, there are also differences throughout the order of preference provided to certain forms of forensic interview questions or surveys along its spectrum, from open-ended to closed-ended, such as those asking for further pertinent information on a specific investigation case (Faller, 2015).</w:t>
      </w:r>
    </w:p>
    <w:p w14:paraId="3299C935" w14:textId="77777777" w:rsidR="00CA7A33" w:rsidRDefault="00CA7A33" w:rsidP="00CA7A33">
      <w:pPr>
        <w:pStyle w:val="NormalWeb"/>
        <w:spacing w:before="0" w:beforeAutospacing="0" w:after="0" w:afterAutospacing="0" w:line="480" w:lineRule="auto"/>
        <w:rPr>
          <w:rStyle w:val="Strong"/>
          <w:color w:val="0E101A"/>
          <w:sz w:val="24"/>
          <w:szCs w:val="24"/>
        </w:rPr>
      </w:pPr>
    </w:p>
    <w:p w14:paraId="2736C602"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Lawful interview techniques/strategies </w:t>
      </w:r>
    </w:p>
    <w:p w14:paraId="7B56FCBC" w14:textId="77777777" w:rsidR="00CA7A33" w:rsidRPr="00CA7A33" w:rsidRDefault="00CA7A33" w:rsidP="00CA7A33">
      <w:pPr>
        <w:pStyle w:val="NormalWeb"/>
        <w:spacing w:before="0" w:beforeAutospacing="0" w:after="0" w:afterAutospacing="0" w:line="480" w:lineRule="auto"/>
        <w:rPr>
          <w:color w:val="0E101A"/>
          <w:sz w:val="24"/>
          <w:szCs w:val="24"/>
        </w:rPr>
      </w:pPr>
    </w:p>
    <w:p w14:paraId="532AB979"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There is a sharp contrast when gathering information through an interview versus an interrogation. In most cases, the interrogator has presumed (incorrectly) that the suspect is deceptive and guilty. This amount of confidence in the interrogator can result in aggression and hostility from the suspect who is interviewed even though they be truthful in their confession. However, with the interview mode, the interviewer collects information without accusing or convicting the suspect or victim. On the other hand, interrogations aim to get a confession and accuse the victims of guilt.</w:t>
      </w:r>
    </w:p>
    <w:p w14:paraId="291A367E" w14:textId="77777777" w:rsid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           Thus, with a good interviewer present to gather information, the process is smoothly structured, the investigative discussion flows freely, none directive, and open-ended. On the other hand, interrogations are highly structured. Thus, the lawful interview strategy can prove to be highly efficient in obtaining admissions and or confessions from the suspects/witness/victims without fear of intimidation or bias (Fleisher &amp; Gordon, 2019).</w:t>
      </w:r>
    </w:p>
    <w:p w14:paraId="50C8BA37" w14:textId="77777777" w:rsidR="00CA7A33" w:rsidRPr="00CA7A33" w:rsidRDefault="00CA7A33" w:rsidP="00CA7A33">
      <w:pPr>
        <w:pStyle w:val="NormalWeb"/>
        <w:spacing w:before="0" w:beforeAutospacing="0" w:after="0" w:afterAutospacing="0" w:line="480" w:lineRule="auto"/>
        <w:rPr>
          <w:color w:val="0E101A"/>
          <w:sz w:val="24"/>
          <w:szCs w:val="24"/>
        </w:rPr>
      </w:pPr>
    </w:p>
    <w:p w14:paraId="6DA949F3"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The importance of physical demeanor bodily actions during the interview</w:t>
      </w:r>
    </w:p>
    <w:p w14:paraId="1286E8BD"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Fleisher &amp; Gordon recommend that the interrogation or interview room aesthetic value impact forensic interview results. A tiny enclosed room is threatening. The room at least should have a desk and chairs whose appearance should not reflect despair. Wall hangings of the room should not scare or distract the person under interview or interrogation.</w:t>
      </w:r>
    </w:p>
    <w:p w14:paraId="5C9B5F11"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This is important because if the suspect were innocent but found the environment relaxing, the forensic interviewer would find it easy to make an accurate evaluation. Consequently, if when the guilty suspect finds it easy to focus in a relaxed room, he/she might focus on his plight of punishment and jail-term, hence readily admitting his or her misdeeds bias (Fleisher &amp; Gordon, 2019).</w:t>
      </w:r>
    </w:p>
    <w:p w14:paraId="4F9B0929"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Problem Statement</w:t>
      </w:r>
    </w:p>
    <w:p w14:paraId="09BB38A6"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Most Interrogations in the history of America and the entire global system of criminal forensic investigations, for the most part, have developed from those governed by physical violence or torture practices to those driven by psychologically coercive practices. While the current use of psychological techniques is a potentially optimistic development over hard methods, the level of vulnerability of wrongful convictions has not decreased. Such activities still perpetuate a "get tough" mentality that runs contrary to both the rights of the accused and the empirical evidence about how to obtain accurate and credible facts from captives (Snook et al., 2015).</w:t>
      </w:r>
    </w:p>
    <w:p w14:paraId="6E78E81B"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According to Snook and others, a review of the available literature on American interrogation practices, especially the ",up until 19Wickersham Commission Report" up until 193 suggests that it was normal for police officers to use "third degree" tactics when interrogating detainees. Third-degree tactics included different types of physical force and abuse, isolation, and deprivation of basic necessities such as food and water. It's assumed that law enforcement interrogators were brutal on suspects because of the notion that they were at war with the crime and also that the third degree was their most powerful tool for extracting admissions. </w:t>
      </w:r>
    </w:p>
    <w:p w14:paraId="2F6D4FAB"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Police officers were well conscious, as they are now, that admission is indeed a very important piece of evidence. Surprisingly, it seems that law enforcers justified their use of these methods by claiming that they were only questioning guilty people. Third-degree methods were seen as a necessary evil in the pursuit of the facts because they forced potentially uncooperative suspects to speak up, and it was far more expedient to get the accused party to confess than it was to prove guilt by evidence. Surprisingly, I found that such a belligerent attitude was apparently unopposed by the judicial system at the period.</w:t>
      </w:r>
    </w:p>
    <w:p w14:paraId="114FAD7E" w14:textId="77777777" w:rsid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 xml:space="preserve">The Lawlessness in Law Study reported in 1931 (Adler, 2015) had a significant impact on the decline of third-degree interventions. </w:t>
      </w:r>
    </w:p>
    <w:p w14:paraId="0F961057" w14:textId="38BF69D4"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Physiological coercion created misleading evidence, prompted admissions that were irrelevant, decreased trust of the public in law enforcement, and hampered the drive to promote policing, according to police organizations. Police departments often gradually noticed and became aware that innocent victims were often subject to violent activities.</w:t>
      </w:r>
    </w:p>
    <w:p w14:paraId="0AFD9C72" w14:textId="77777777" w:rsidR="00CA7A33" w:rsidRPr="00CA7A33" w:rsidRDefault="00CA7A33" w:rsidP="00CA7A33">
      <w:pPr>
        <w:pStyle w:val="NormalWeb"/>
        <w:spacing w:before="0" w:beforeAutospacing="0" w:after="0" w:afterAutospacing="0" w:line="480" w:lineRule="auto"/>
        <w:jc w:val="center"/>
        <w:rPr>
          <w:color w:val="0E101A"/>
          <w:sz w:val="24"/>
          <w:szCs w:val="24"/>
        </w:rPr>
      </w:pPr>
      <w:r w:rsidRPr="00CA7A33">
        <w:rPr>
          <w:rStyle w:val="Strong"/>
          <w:color w:val="0E101A"/>
          <w:sz w:val="24"/>
          <w:szCs w:val="24"/>
        </w:rPr>
        <w:t>Interview Questions</w:t>
      </w:r>
    </w:p>
    <w:p w14:paraId="3E6775CA"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1</w:t>
      </w:r>
    </w:p>
    <w:p w14:paraId="221E9EF3"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The accusatory interrogation aims to elicit a confession from an individual through a pressure-filled interview. With a direct, positive confrontation with a detainee, interrogators are taught to state their unwavering belief in the detainee's guilt, follow the confrontation with a pause so that the detainee's non-verbal and verbal responses can be scrutinized interrogators are encouraged to develop a theme that provides a reason to the guilty party as to why they committed the crime.</w:t>
      </w:r>
    </w:p>
    <w:p w14:paraId="0BC49E95"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For emotional offenders, the interrogators are taught to minimize the crime by suggesting moral excuses or justifications. Interrogators are also taught that the chosen theme should reinforce the individual's rationalizations for committing the crime to make it easier for a guilty person to overcome any hesitations associated with admitting their criminal involvement. Interrogators are taught that confessions rarely occur after detainees are confronted directly about their guilt and that they should expect guilty individuals to deny the offense. Allowing initial denials of criminal involvement presumably reduces the likelihood of obtaining a confession at a later stage in the interrogation. The primary goal of this third step is for the interrogator to prevent detainees from denying involvement in the crime by, for example, reconfirming one's belief in their guilt and reiterating the proposed theme after preventing denials from being voiced.</w:t>
      </w:r>
    </w:p>
    <w:p w14:paraId="1104667D"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Overcoming objections — excuses were given by detainees as to why they could not, or would not, have committed the crime. Objections can be emotional ("I'd be too nervous to do something like that"), factual ("I don't even own a gun"), or moral ("I wasn't brought up that way"). Because it is assumed that only guilty detainees verbalize objections, a movement from denials to objections is assumed to be a good indication of deception.</w:t>
      </w:r>
    </w:p>
    <w:p w14:paraId="70DC9144"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2</w:t>
      </w:r>
    </w:p>
    <w:p w14:paraId="58BDBEF5"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Despite the movement away from the use of direct physical force to psychological manipulation, little has changed with regards to the protection of innocent detainees from coercive interrogation. After the release of the Wickersham Commission Report, police organizations acknowledged more readily that they sometimes misclassified people as guilty and subjected innocent individuals to harsh interrogations.</w:t>
      </w:r>
    </w:p>
    <w:p w14:paraId="0253B485"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3</w:t>
      </w:r>
    </w:p>
    <w:p w14:paraId="6040FAED"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For successful interrogation, the interviewer and or interrogator must never sneer, ridicule, bully, belittle, antagonize, and or make prejudicial moves. He or she must be committed to finding only the truth and nothing much.</w:t>
      </w:r>
    </w:p>
    <w:p w14:paraId="37E7412C"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4</w:t>
      </w:r>
    </w:p>
    <w:p w14:paraId="3DBC151E"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Not really! </w:t>
      </w:r>
    </w:p>
    <w:p w14:paraId="7382FB75"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Despite the movement away from the use of direct physical force to psychological manipulation, little has changed with regards to the protection of innocent detainees from coercive interrogation. There are two interrelated concerns that have been highlighted with Reid: the use of unreliable behaviourally-based deception detection methods and the use of tactics that are known to elicit confessions from innocent people.</w:t>
      </w:r>
    </w:p>
    <w:p w14:paraId="02F5B65D" w14:textId="77777777" w:rsidR="00CA7A33" w:rsidRPr="00CA7A33" w:rsidRDefault="00CA7A33" w:rsidP="00CA7A33">
      <w:pPr>
        <w:pStyle w:val="NormalWeb"/>
        <w:spacing w:before="0" w:beforeAutospacing="0" w:after="0" w:afterAutospacing="0" w:line="480" w:lineRule="auto"/>
        <w:rPr>
          <w:color w:val="0E101A"/>
          <w:sz w:val="24"/>
          <w:szCs w:val="24"/>
        </w:rPr>
      </w:pPr>
    </w:p>
    <w:p w14:paraId="2761AED5"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5</w:t>
      </w:r>
    </w:p>
    <w:p w14:paraId="697CD8D3" w14:textId="77777777" w:rsidR="00CA7A33" w:rsidRPr="00CA7A33" w:rsidRDefault="00CA7A33" w:rsidP="00CA7A33">
      <w:pPr>
        <w:pStyle w:val="NormalWeb"/>
        <w:spacing w:before="0" w:beforeAutospacing="0" w:after="0" w:afterAutospacing="0" w:line="480" w:lineRule="auto"/>
        <w:ind w:firstLine="720"/>
        <w:rPr>
          <w:b/>
          <w:color w:val="0E101A"/>
          <w:sz w:val="24"/>
          <w:szCs w:val="24"/>
        </w:rPr>
      </w:pPr>
      <w:r w:rsidRPr="00CA7A33">
        <w:rPr>
          <w:rStyle w:val="Strong"/>
          <w:b w:val="0"/>
          <w:color w:val="0E101A"/>
          <w:sz w:val="24"/>
          <w:szCs w:val="24"/>
        </w:rPr>
        <w:t>Yes, terrorist still deserves justice a humane treatment.</w:t>
      </w:r>
    </w:p>
    <w:p w14:paraId="75971760"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A wealth of other research has produced a series of disconcerting findings with respect to accusatorial methods and false confessions instance, the chances of obtaining false confessions have been shown to increase when law enforcement officers interrogate vulnerable individuals (e.g., youths, mentally ill, intellectually disabled)</w:t>
      </w:r>
    </w:p>
    <w:p w14:paraId="4068C053"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6</w:t>
      </w:r>
    </w:p>
    <w:p w14:paraId="0DA71323"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Interrogation methods worsen terror. The reason is that that the interrogation method aims at accusing the suspect, labeling him guilty because the interrogator has home merit over the suspect. This only increases retaliation since the purpose is to obtain a confession from the suspect.</w:t>
      </w:r>
    </w:p>
    <w:p w14:paraId="5D95D72B"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7</w:t>
      </w:r>
    </w:p>
    <w:p w14:paraId="586C61F7"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In dilapidated housing conditions that are not in favor of the victim or suspect. The housing conditions are generally poor: unhygienic, poorly lit, and not conducive for a relaxing state for the suspect to focus.</w:t>
      </w:r>
    </w:p>
    <w:p w14:paraId="224BC68E" w14:textId="77777777" w:rsidR="00CA7A33" w:rsidRDefault="00CA7A33" w:rsidP="00CA7A33">
      <w:pPr>
        <w:pStyle w:val="NormalWeb"/>
        <w:spacing w:before="0" w:beforeAutospacing="0" w:after="0" w:afterAutospacing="0" w:line="480" w:lineRule="auto"/>
        <w:rPr>
          <w:rStyle w:val="Strong"/>
          <w:color w:val="0E101A"/>
          <w:sz w:val="24"/>
          <w:szCs w:val="24"/>
        </w:rPr>
      </w:pPr>
    </w:p>
    <w:p w14:paraId="50F7164C"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8</w:t>
      </w:r>
    </w:p>
    <w:p w14:paraId="321F4C15"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Yes, most suspects do yield in due to the initial oppressive tactics: employed by the interrogator, for instance, denial of food, water, clothing, confronted with fabricated evidence.</w:t>
      </w:r>
    </w:p>
    <w:p w14:paraId="75B69FBC"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The risk of false confessions is further increased when such tactics are used against vulnerable populations, and little guidance is given to Reid regarding how to identify and deal with these individuals appropriately.</w:t>
      </w:r>
    </w:p>
    <w:p w14:paraId="7A1AF4E4" w14:textId="77777777" w:rsidR="00CA7A33" w:rsidRPr="00CA7A33" w:rsidRDefault="00CA7A33" w:rsidP="00CA7A33">
      <w:pPr>
        <w:pStyle w:val="NormalWeb"/>
        <w:spacing w:before="0" w:beforeAutospacing="0" w:after="0" w:afterAutospacing="0" w:line="480" w:lineRule="auto"/>
        <w:rPr>
          <w:color w:val="0E101A"/>
          <w:sz w:val="24"/>
          <w:szCs w:val="24"/>
        </w:rPr>
      </w:pPr>
    </w:p>
    <w:p w14:paraId="7731C9EF" w14:textId="500CF593" w:rsidR="00CA7A33" w:rsidRPr="00CA7A33" w:rsidRDefault="00CA7A33" w:rsidP="00CA7A33">
      <w:pPr>
        <w:pStyle w:val="NormalWeb"/>
        <w:spacing w:before="0" w:beforeAutospacing="0" w:after="0" w:afterAutospacing="0" w:line="480" w:lineRule="auto"/>
        <w:rPr>
          <w:color w:val="0E101A"/>
          <w:sz w:val="24"/>
          <w:szCs w:val="24"/>
        </w:rPr>
      </w:pPr>
      <w:r w:rsidRPr="00CA7A33">
        <w:rPr>
          <w:color w:val="0E101A"/>
          <w:sz w:val="24"/>
          <w:szCs w:val="24"/>
        </w:rPr>
        <w:t> </w:t>
      </w:r>
      <w:r>
        <w:rPr>
          <w:color w:val="0E101A"/>
          <w:sz w:val="24"/>
          <w:szCs w:val="24"/>
        </w:rPr>
        <w:tab/>
      </w:r>
      <w:r w:rsidRPr="00CA7A33">
        <w:rPr>
          <w:color w:val="0E101A"/>
          <w:sz w:val="24"/>
          <w:szCs w:val="24"/>
        </w:rPr>
        <w:t>This issue is compounded within the justice system more broadly by the fact that potential triers of fact tend to disbelieve that psychological tactics could lead someone to confess to a crime they did not commit and the fact that people are unable to recognize false confessions. The risk of eliciting false confessions has far from diminished since the demise of the third-degree tactics.</w:t>
      </w:r>
    </w:p>
    <w:p w14:paraId="4C1CC072" w14:textId="77777777" w:rsidR="00CA7A33" w:rsidRPr="00CA7A33" w:rsidRDefault="00CA7A33" w:rsidP="00CA7A33">
      <w:pPr>
        <w:pStyle w:val="NormalWeb"/>
        <w:spacing w:before="0" w:beforeAutospacing="0" w:after="0" w:afterAutospacing="0" w:line="480" w:lineRule="auto"/>
        <w:rPr>
          <w:color w:val="0E101A"/>
          <w:sz w:val="24"/>
          <w:szCs w:val="24"/>
        </w:rPr>
      </w:pPr>
      <w:r w:rsidRPr="00CA7A33">
        <w:rPr>
          <w:rStyle w:val="Strong"/>
          <w:color w:val="0E101A"/>
          <w:sz w:val="24"/>
          <w:szCs w:val="24"/>
        </w:rPr>
        <w:t>Question 10</w:t>
      </w:r>
    </w:p>
    <w:p w14:paraId="060FC18A" w14:textId="77777777" w:rsidR="00CA7A33" w:rsidRPr="00CA7A33" w:rsidRDefault="00CA7A33" w:rsidP="00CA7A33">
      <w:pPr>
        <w:pStyle w:val="NormalWeb"/>
        <w:spacing w:before="0" w:beforeAutospacing="0" w:after="0" w:afterAutospacing="0" w:line="480" w:lineRule="auto"/>
        <w:ind w:firstLine="720"/>
        <w:rPr>
          <w:color w:val="0E101A"/>
          <w:sz w:val="24"/>
          <w:szCs w:val="24"/>
        </w:rPr>
      </w:pPr>
      <w:r w:rsidRPr="00CA7A33">
        <w:rPr>
          <w:color w:val="0E101A"/>
          <w:sz w:val="24"/>
          <w:szCs w:val="24"/>
        </w:rPr>
        <w:t>Not by significant levels. It is due to the interrogative approach that security wings have decided to take. This is a victimization of the suspected terrorist individual and their the from their people_friends and relatives who feel victimized and labeled guilty without actually participating In terror activities.</w:t>
      </w:r>
    </w:p>
    <w:p w14:paraId="6E57175C" w14:textId="77777777" w:rsidR="003F305D" w:rsidRPr="00CA7A33" w:rsidRDefault="003F305D" w:rsidP="00CA7A33">
      <w:pPr>
        <w:jc w:val="both"/>
        <w:rPr>
          <w:rFonts w:eastAsia="Times New Roman" w:cs="Times New Roman"/>
          <w:szCs w:val="24"/>
          <w:lang w:val="en-US"/>
        </w:rPr>
      </w:pPr>
    </w:p>
    <w:p w14:paraId="158C4DCD" w14:textId="77777777" w:rsidR="00A870EF" w:rsidRPr="00CA7A33" w:rsidRDefault="00A870EF" w:rsidP="00CA7A33">
      <w:pPr>
        <w:jc w:val="both"/>
        <w:rPr>
          <w:rFonts w:eastAsia="Times New Roman" w:cs="Times New Roman"/>
          <w:szCs w:val="24"/>
          <w:lang w:val="en-US"/>
        </w:rPr>
      </w:pPr>
    </w:p>
    <w:p w14:paraId="66C8D055" w14:textId="77777777" w:rsidR="00A870EF" w:rsidRPr="00CA7A33" w:rsidRDefault="00A870EF" w:rsidP="00CA7A33">
      <w:pPr>
        <w:jc w:val="both"/>
        <w:rPr>
          <w:rFonts w:eastAsia="Times New Roman" w:cs="Times New Roman"/>
          <w:b/>
          <w:szCs w:val="24"/>
          <w:lang w:val="en-US"/>
        </w:rPr>
      </w:pPr>
    </w:p>
    <w:p w14:paraId="2E2F0529" w14:textId="77777777" w:rsidR="00A870EF" w:rsidRPr="00CA7A33" w:rsidRDefault="00A870EF" w:rsidP="00CA7A33">
      <w:pPr>
        <w:jc w:val="both"/>
        <w:rPr>
          <w:rFonts w:eastAsia="Times New Roman" w:cs="Times New Roman"/>
          <w:szCs w:val="24"/>
          <w:lang w:val="en-US"/>
        </w:rPr>
      </w:pPr>
    </w:p>
    <w:p w14:paraId="4EB1DC34" w14:textId="77777777" w:rsidR="00D41CE3" w:rsidRPr="00CA7A33" w:rsidRDefault="00D41CE3" w:rsidP="00CA7A33">
      <w:pPr>
        <w:rPr>
          <w:rFonts w:eastAsia="Times New Roman" w:cs="Times New Roman"/>
          <w:b/>
          <w:szCs w:val="24"/>
          <w:lang w:val="en-US"/>
        </w:rPr>
      </w:pPr>
    </w:p>
    <w:p w14:paraId="45015244" w14:textId="77777777" w:rsidR="003D2834" w:rsidRPr="00CA7A33" w:rsidRDefault="003D2834" w:rsidP="00CA7A33">
      <w:pPr>
        <w:jc w:val="both"/>
        <w:rPr>
          <w:rFonts w:eastAsia="Times New Roman" w:cs="Times New Roman"/>
          <w:szCs w:val="24"/>
          <w:lang w:val="en-US"/>
        </w:rPr>
      </w:pPr>
    </w:p>
    <w:p w14:paraId="679AFB62" w14:textId="77777777" w:rsidR="009B7BAA" w:rsidRPr="00CA7A33" w:rsidRDefault="009B7BAA" w:rsidP="00CA7A33">
      <w:pPr>
        <w:rPr>
          <w:rFonts w:eastAsia="Times New Roman" w:cs="Times New Roman"/>
          <w:b/>
          <w:szCs w:val="24"/>
          <w:lang w:val="en-US"/>
        </w:rPr>
      </w:pPr>
    </w:p>
    <w:p w14:paraId="7DEF9705" w14:textId="77777777" w:rsidR="009B7BAA" w:rsidRPr="00CA7A33" w:rsidRDefault="009B7BAA" w:rsidP="00CA7A33">
      <w:pPr>
        <w:rPr>
          <w:rFonts w:eastAsia="Times New Roman" w:cs="Times New Roman"/>
          <w:szCs w:val="24"/>
          <w:lang w:val="en-US"/>
        </w:rPr>
      </w:pPr>
    </w:p>
    <w:p w14:paraId="779C31E9" w14:textId="3E33BBBF" w:rsidR="001B518F" w:rsidRPr="00CA7A33" w:rsidRDefault="001B518F" w:rsidP="00CA7A33">
      <w:pPr>
        <w:rPr>
          <w:rFonts w:eastAsia="Times New Roman" w:cs="Times New Roman"/>
          <w:szCs w:val="24"/>
          <w:lang w:val="en-US"/>
        </w:rPr>
      </w:pPr>
    </w:p>
    <w:p w14:paraId="704D6576" w14:textId="77777777" w:rsidR="001B518F" w:rsidRPr="00CA7A33" w:rsidRDefault="001B518F" w:rsidP="00CA7A33">
      <w:pPr>
        <w:rPr>
          <w:rFonts w:eastAsia="Times New Roman" w:cs="Times New Roman"/>
          <w:szCs w:val="24"/>
          <w:lang w:val="en-US"/>
        </w:rPr>
      </w:pPr>
    </w:p>
    <w:p w14:paraId="4D012447" w14:textId="77777777" w:rsidR="0029672A" w:rsidRPr="00CA7A33" w:rsidRDefault="0029672A" w:rsidP="00CA7A33">
      <w:pPr>
        <w:rPr>
          <w:rFonts w:eastAsia="Times New Roman" w:cs="Times New Roman"/>
          <w:szCs w:val="24"/>
          <w:lang w:val="en-US"/>
        </w:rPr>
      </w:pPr>
    </w:p>
    <w:p w14:paraId="6CF19358" w14:textId="33A60CBE" w:rsidR="0029672A" w:rsidRPr="00CA7A33" w:rsidRDefault="0029672A" w:rsidP="00CA7A33">
      <w:pPr>
        <w:rPr>
          <w:rFonts w:eastAsia="Times New Roman" w:cs="Times New Roman"/>
          <w:szCs w:val="24"/>
          <w:lang w:val="en-US"/>
        </w:rPr>
      </w:pPr>
    </w:p>
    <w:p w14:paraId="3B60C041" w14:textId="09BC57D5" w:rsidR="0029672A" w:rsidRPr="00CA7A33" w:rsidRDefault="0029672A" w:rsidP="00CA7A33">
      <w:pPr>
        <w:rPr>
          <w:rFonts w:eastAsia="Times New Roman" w:cs="Times New Roman"/>
          <w:szCs w:val="24"/>
          <w:lang w:val="en-US"/>
        </w:rPr>
      </w:pPr>
    </w:p>
    <w:p w14:paraId="66FCE51F" w14:textId="7902E34A" w:rsidR="0029672A" w:rsidRPr="00CA7A33" w:rsidRDefault="0029672A" w:rsidP="00CA7A33">
      <w:pPr>
        <w:rPr>
          <w:rFonts w:eastAsia="Times New Roman" w:cs="Times New Roman"/>
          <w:szCs w:val="24"/>
          <w:lang w:val="en-US"/>
        </w:rPr>
      </w:pPr>
    </w:p>
    <w:p w14:paraId="54D5C436" w14:textId="27D53724" w:rsidR="0029672A" w:rsidRPr="00CA7A33" w:rsidRDefault="0029672A" w:rsidP="00CA7A33">
      <w:pPr>
        <w:rPr>
          <w:rFonts w:eastAsia="Times New Roman" w:cs="Times New Roman"/>
          <w:szCs w:val="24"/>
          <w:lang w:val="en-US"/>
        </w:rPr>
      </w:pPr>
    </w:p>
    <w:p w14:paraId="2829F89A" w14:textId="77777777" w:rsidR="0029672A" w:rsidRPr="00CA7A33" w:rsidRDefault="0029672A" w:rsidP="00CA7A33">
      <w:pPr>
        <w:rPr>
          <w:rFonts w:eastAsia="Times New Roman" w:cs="Times New Roman"/>
          <w:szCs w:val="24"/>
          <w:lang w:val="en-US"/>
        </w:rPr>
      </w:pPr>
    </w:p>
    <w:p w14:paraId="10A7EE76" w14:textId="77777777" w:rsidR="0029672A" w:rsidRPr="00CA7A33" w:rsidRDefault="0029672A" w:rsidP="00CA7A33">
      <w:pPr>
        <w:rPr>
          <w:rFonts w:eastAsia="Times New Roman" w:cs="Times New Roman"/>
          <w:szCs w:val="24"/>
          <w:lang w:val="en-US"/>
        </w:rPr>
      </w:pPr>
    </w:p>
    <w:p w14:paraId="47A21AC8" w14:textId="77777777" w:rsidR="0029672A" w:rsidRPr="00CA7A33" w:rsidRDefault="0029672A" w:rsidP="00CA7A33">
      <w:pPr>
        <w:rPr>
          <w:rFonts w:eastAsia="Times New Roman" w:cs="Times New Roman"/>
          <w:szCs w:val="24"/>
          <w:lang w:val="en-US"/>
        </w:rPr>
      </w:pPr>
    </w:p>
    <w:p w14:paraId="09DE7F4E" w14:textId="06DC1AE0" w:rsidR="00727BE1" w:rsidRPr="00CA7A33" w:rsidRDefault="00727BE1" w:rsidP="00CA7A33">
      <w:pPr>
        <w:rPr>
          <w:rFonts w:eastAsia="Times New Roman"/>
          <w:szCs w:val="24"/>
        </w:rPr>
      </w:pPr>
      <w:r w:rsidRPr="00CA7A33">
        <w:rPr>
          <w:rFonts w:eastAsia="Times New Roman" w:cs="Times New Roman"/>
          <w:szCs w:val="24"/>
          <w:lang w:val="en-US"/>
        </w:rPr>
        <w:br/>
      </w:r>
    </w:p>
    <w:p w14:paraId="0E1D7E52" w14:textId="1E435BA6" w:rsidR="004D0BEA" w:rsidRPr="00CA7A33" w:rsidRDefault="004D0BEA" w:rsidP="00CA7A33">
      <w:pPr>
        <w:rPr>
          <w:rFonts w:eastAsia="Times New Roman" w:cs="Times New Roman"/>
          <w:szCs w:val="24"/>
          <w:lang w:val="en-US"/>
        </w:rPr>
      </w:pPr>
    </w:p>
    <w:p w14:paraId="1B42C3CC" w14:textId="6B5E35D5" w:rsidR="004D0BEA" w:rsidRPr="00CA7A33" w:rsidRDefault="004D0BEA" w:rsidP="00CA7A33">
      <w:pPr>
        <w:ind w:firstLine="720"/>
        <w:jc w:val="both"/>
        <w:rPr>
          <w:bCs/>
          <w:iCs/>
          <w:szCs w:val="24"/>
          <w:lang w:val="en-US"/>
        </w:rPr>
      </w:pPr>
    </w:p>
    <w:p w14:paraId="3D164ADD" w14:textId="77777777" w:rsidR="004D0BEA" w:rsidRPr="00CA7A33" w:rsidRDefault="004D0BEA" w:rsidP="00CA7A33">
      <w:pPr>
        <w:jc w:val="both"/>
        <w:rPr>
          <w:bCs/>
          <w:iCs/>
          <w:szCs w:val="24"/>
          <w:lang w:val="en-US"/>
        </w:rPr>
      </w:pPr>
    </w:p>
    <w:p w14:paraId="78B79CF4" w14:textId="0DACB8FB" w:rsidR="005E0081" w:rsidRPr="00CA7A33" w:rsidRDefault="005F2AE8" w:rsidP="00CA7A33">
      <w:pPr>
        <w:jc w:val="both"/>
        <w:rPr>
          <w:bCs/>
          <w:iCs/>
          <w:szCs w:val="24"/>
          <w:lang w:val="en-US"/>
        </w:rPr>
      </w:pPr>
      <w:r w:rsidRPr="00CA7A33">
        <w:rPr>
          <w:bCs/>
          <w:iCs/>
          <w:szCs w:val="24"/>
        </w:rPr>
        <w:t>.</w:t>
      </w:r>
    </w:p>
    <w:p w14:paraId="684A3EAB" w14:textId="77777777" w:rsidR="002E5B60" w:rsidRPr="00CA7A33" w:rsidRDefault="002E5B60" w:rsidP="00CA7A33">
      <w:pPr>
        <w:ind w:firstLine="720"/>
        <w:jc w:val="both"/>
        <w:rPr>
          <w:szCs w:val="24"/>
          <w:lang w:val="en-US"/>
        </w:rPr>
      </w:pPr>
      <w:r w:rsidRPr="00CA7A33">
        <w:rPr>
          <w:szCs w:val="24"/>
          <w:lang w:val="en-US"/>
        </w:rPr>
        <w:br w:type="page"/>
      </w:r>
    </w:p>
    <w:p w14:paraId="0353152B" w14:textId="77777777" w:rsidR="00BE6800" w:rsidRPr="00CA7A33" w:rsidRDefault="002E5B60" w:rsidP="00CA7A33">
      <w:pPr>
        <w:jc w:val="center"/>
        <w:rPr>
          <w:b/>
          <w:bCs/>
          <w:szCs w:val="24"/>
          <w:lang w:val="en-US"/>
        </w:rPr>
      </w:pPr>
      <w:r w:rsidRPr="00CA7A33">
        <w:rPr>
          <w:b/>
          <w:bCs/>
          <w:szCs w:val="24"/>
          <w:lang w:val="en-US"/>
        </w:rPr>
        <w:t>References</w:t>
      </w:r>
      <w:r w:rsidR="00BE6800" w:rsidRPr="00CA7A33">
        <w:rPr>
          <w:b/>
          <w:bCs/>
          <w:szCs w:val="24"/>
          <w:lang w:val="en-US"/>
        </w:rPr>
        <w:t xml:space="preserve"> </w:t>
      </w:r>
    </w:p>
    <w:p w14:paraId="498B0C7F" w14:textId="09106A32" w:rsidR="005426E4" w:rsidRPr="00CA7A33" w:rsidRDefault="005426E4" w:rsidP="00CA7A33">
      <w:pPr>
        <w:pStyle w:val="NormalWeb"/>
        <w:spacing w:line="480" w:lineRule="auto"/>
        <w:ind w:left="567" w:hanging="567"/>
        <w:rPr>
          <w:sz w:val="24"/>
          <w:szCs w:val="24"/>
        </w:rPr>
      </w:pPr>
      <w:r w:rsidRPr="00CA7A33">
        <w:rPr>
          <w:sz w:val="24"/>
          <w:szCs w:val="24"/>
        </w:rPr>
        <w:t xml:space="preserve">Adler, J. S. (2015). Less Crime, More Punishment: Violence, Race, and Criminal Justice in Early Twentieth-Century America. </w:t>
      </w:r>
      <w:r w:rsidRPr="00CA7A33">
        <w:rPr>
          <w:i/>
          <w:iCs/>
          <w:sz w:val="24"/>
          <w:szCs w:val="24"/>
        </w:rPr>
        <w:t>Journal of American History</w:t>
      </w:r>
      <w:r w:rsidRPr="00CA7A33">
        <w:rPr>
          <w:sz w:val="24"/>
          <w:szCs w:val="24"/>
        </w:rPr>
        <w:t xml:space="preserve">, </w:t>
      </w:r>
      <w:r w:rsidRPr="00CA7A33">
        <w:rPr>
          <w:i/>
          <w:iCs/>
          <w:sz w:val="24"/>
          <w:szCs w:val="24"/>
        </w:rPr>
        <w:t>102</w:t>
      </w:r>
      <w:r w:rsidRPr="00CA7A33">
        <w:rPr>
          <w:sz w:val="24"/>
          <w:szCs w:val="24"/>
        </w:rPr>
        <w:t xml:space="preserve">(1), 34–46. https://doi.org/10.1093/jahist/jav173 </w:t>
      </w:r>
    </w:p>
    <w:p w14:paraId="58F197D5" w14:textId="77777777" w:rsidR="001221BA" w:rsidRPr="00CA7A33" w:rsidRDefault="001221BA" w:rsidP="00CA7A33">
      <w:pPr>
        <w:pStyle w:val="NormalWeb"/>
        <w:spacing w:line="480" w:lineRule="auto"/>
        <w:ind w:left="567" w:hanging="567"/>
        <w:rPr>
          <w:sz w:val="24"/>
          <w:szCs w:val="24"/>
        </w:rPr>
      </w:pPr>
      <w:r w:rsidRPr="00CA7A33">
        <w:rPr>
          <w:sz w:val="24"/>
          <w:szCs w:val="24"/>
        </w:rPr>
        <w:t>Individual Emergencies and the Rule of Criminal Law. Rethinking Criminal Law Theory : New Canadian Perspectives in the Philosophy of Domestic, Transnational, and International Criminal Law. https://doi.org/10.5040/9781472561091.ch-002</w:t>
      </w:r>
    </w:p>
    <w:p w14:paraId="3BE813DE" w14:textId="5C312502" w:rsidR="001221BA" w:rsidRPr="00CA7A33" w:rsidRDefault="00222B94" w:rsidP="00CA7A33">
      <w:pPr>
        <w:pStyle w:val="NormalWeb"/>
        <w:spacing w:line="480" w:lineRule="auto"/>
        <w:ind w:left="567" w:hanging="567"/>
        <w:rPr>
          <w:sz w:val="24"/>
          <w:szCs w:val="24"/>
        </w:rPr>
      </w:pPr>
      <w:r w:rsidRPr="00CA7A33">
        <w:rPr>
          <w:sz w:val="24"/>
          <w:szCs w:val="24"/>
        </w:rPr>
        <w:t>Fleisher, W. L., &amp;amp; Gordon, N. J. (2019). Effective Interviewing and Interrogation Techniques. Academic Press.</w:t>
      </w:r>
    </w:p>
    <w:p w14:paraId="514EEEEF" w14:textId="77777777" w:rsidR="001221BA" w:rsidRPr="00CA7A33" w:rsidRDefault="001221BA" w:rsidP="00CA7A33">
      <w:pPr>
        <w:pStyle w:val="NormalWeb"/>
        <w:spacing w:line="480" w:lineRule="auto"/>
        <w:ind w:left="567" w:hanging="567"/>
        <w:rPr>
          <w:sz w:val="24"/>
          <w:szCs w:val="24"/>
        </w:rPr>
      </w:pPr>
      <w:r w:rsidRPr="00CA7A33">
        <w:rPr>
          <w:i/>
          <w:iCs/>
          <w:sz w:val="24"/>
          <w:szCs w:val="24"/>
        </w:rPr>
        <w:t>Forensic Interviewing: A Primer for Child Welfare ...</w:t>
      </w:r>
      <w:r w:rsidRPr="00CA7A33">
        <w:rPr>
          <w:sz w:val="24"/>
          <w:szCs w:val="24"/>
        </w:rPr>
        <w:t xml:space="preserve"> https://www.childwelfare.gov/pubPDFs/forensicinterviewing.pdf. </w:t>
      </w:r>
    </w:p>
    <w:p w14:paraId="6DA0C98C" w14:textId="77777777" w:rsidR="000F0345" w:rsidRPr="00CA7A33" w:rsidRDefault="000F0345" w:rsidP="00CA7A33">
      <w:pPr>
        <w:pStyle w:val="NormalWeb"/>
        <w:spacing w:line="480" w:lineRule="auto"/>
        <w:ind w:left="567" w:hanging="567"/>
        <w:rPr>
          <w:sz w:val="24"/>
          <w:szCs w:val="24"/>
        </w:rPr>
      </w:pPr>
      <w:r w:rsidRPr="00CA7A33">
        <w:rPr>
          <w:sz w:val="24"/>
          <w:szCs w:val="24"/>
        </w:rPr>
        <w:t xml:space="preserve">Snook, B., Brooks, D., &amp; Bull, R. (2015). Measure of Interrogation Style. </w:t>
      </w:r>
      <w:r w:rsidRPr="00CA7A33">
        <w:rPr>
          <w:i/>
          <w:iCs/>
          <w:sz w:val="24"/>
          <w:szCs w:val="24"/>
        </w:rPr>
        <w:t>PsycTESTS Dataset</w:t>
      </w:r>
      <w:r w:rsidRPr="00CA7A33">
        <w:rPr>
          <w:sz w:val="24"/>
          <w:szCs w:val="24"/>
        </w:rPr>
        <w:t xml:space="preserve">. https://doi.org/10.1037/t57967-000 </w:t>
      </w:r>
    </w:p>
    <w:p w14:paraId="6E2114B6" w14:textId="77777777" w:rsidR="005426E4" w:rsidRPr="00CA7A33" w:rsidRDefault="005426E4" w:rsidP="00CA7A33">
      <w:pPr>
        <w:pStyle w:val="NormalWeb"/>
        <w:spacing w:line="480" w:lineRule="auto"/>
        <w:ind w:left="567" w:hanging="567"/>
        <w:rPr>
          <w:sz w:val="24"/>
          <w:szCs w:val="24"/>
        </w:rPr>
      </w:pPr>
    </w:p>
    <w:p w14:paraId="32A734D9" w14:textId="77777777" w:rsidR="000F0345" w:rsidRPr="00CA7A33" w:rsidRDefault="000F0345" w:rsidP="00CA7A33">
      <w:pPr>
        <w:pStyle w:val="NormalWeb"/>
        <w:spacing w:line="480" w:lineRule="auto"/>
        <w:ind w:left="567" w:hanging="567"/>
        <w:rPr>
          <w:sz w:val="24"/>
          <w:szCs w:val="24"/>
        </w:rPr>
      </w:pPr>
    </w:p>
    <w:p w14:paraId="1898E078" w14:textId="77777777" w:rsidR="001221BA" w:rsidRPr="00CA7A33" w:rsidRDefault="001221BA" w:rsidP="00CA7A33">
      <w:pPr>
        <w:pStyle w:val="NormalWeb"/>
        <w:spacing w:line="480" w:lineRule="auto"/>
        <w:ind w:left="567" w:hanging="567"/>
        <w:rPr>
          <w:sz w:val="24"/>
          <w:szCs w:val="24"/>
        </w:rPr>
      </w:pPr>
    </w:p>
    <w:p w14:paraId="67593215" w14:textId="77777777" w:rsidR="008908EF" w:rsidRPr="00CA7A33" w:rsidRDefault="008908EF" w:rsidP="00CA7A33">
      <w:pPr>
        <w:jc w:val="center"/>
        <w:rPr>
          <w:b/>
          <w:bCs/>
          <w:szCs w:val="24"/>
          <w:lang w:val="en-US"/>
        </w:rPr>
      </w:pPr>
    </w:p>
    <w:p w14:paraId="63E32BCA" w14:textId="77777777" w:rsidR="000C0B36" w:rsidRPr="00CA7A33" w:rsidRDefault="000C0B36" w:rsidP="00CA7A33">
      <w:pPr>
        <w:jc w:val="center"/>
        <w:rPr>
          <w:szCs w:val="24"/>
          <w:lang w:val="en-US"/>
        </w:rPr>
      </w:pPr>
    </w:p>
    <w:sectPr w:rsidR="000C0B36" w:rsidRPr="00CA7A33" w:rsidSect="00A870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F935A" w14:textId="77777777" w:rsidR="00A050D4" w:rsidRDefault="00A050D4" w:rsidP="00BE6800">
      <w:pPr>
        <w:spacing w:line="240" w:lineRule="auto"/>
      </w:pPr>
      <w:r>
        <w:separator/>
      </w:r>
    </w:p>
  </w:endnote>
  <w:endnote w:type="continuationSeparator" w:id="0">
    <w:p w14:paraId="0CD160A7" w14:textId="77777777" w:rsidR="00A050D4" w:rsidRDefault="00A050D4" w:rsidP="00BE6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6CAD4" w14:textId="77777777" w:rsidR="00A050D4" w:rsidRDefault="00A05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D714" w14:textId="77777777" w:rsidR="00A050D4" w:rsidRDefault="00A05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CA32C" w14:textId="77777777" w:rsidR="00A050D4" w:rsidRDefault="00A0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3CE42" w14:textId="77777777" w:rsidR="00A050D4" w:rsidRDefault="00A050D4" w:rsidP="00BE6800">
      <w:pPr>
        <w:spacing w:line="240" w:lineRule="auto"/>
      </w:pPr>
      <w:r>
        <w:separator/>
      </w:r>
    </w:p>
  </w:footnote>
  <w:footnote w:type="continuationSeparator" w:id="0">
    <w:p w14:paraId="7628813A" w14:textId="77777777" w:rsidR="00A050D4" w:rsidRDefault="00A050D4" w:rsidP="00BE6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45BF" w14:textId="77777777" w:rsidR="00A050D4" w:rsidRDefault="00A0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52D6" w14:textId="77777777" w:rsidR="00A050D4" w:rsidRDefault="00A050D4"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2990">
          <w:rPr>
            <w:noProof/>
          </w:rPr>
          <w:t>1</w:t>
        </w:r>
        <w:r>
          <w:rPr>
            <w:noProof/>
          </w:rPr>
          <w:fldChar w:fldCharType="end"/>
        </w:r>
      </w:sdtContent>
    </w:sdt>
  </w:p>
  <w:p w14:paraId="1F88D055" w14:textId="77777777" w:rsidR="00A050D4" w:rsidRDefault="00A05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D671" w14:textId="77777777" w:rsidR="00A050D4" w:rsidRPr="00A870A0" w:rsidRDefault="00A050D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40840"/>
    <w:multiLevelType w:val="multilevel"/>
    <w:tmpl w:val="54E2C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hideSpellingErrors/>
  <w:hideGrammaticalErrors/>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547262"/>
    <w:rsid w:val="000973F2"/>
    <w:rsid w:val="000C0B36"/>
    <w:rsid w:val="000C75C2"/>
    <w:rsid w:val="000F0345"/>
    <w:rsid w:val="001221BA"/>
    <w:rsid w:val="00183B3C"/>
    <w:rsid w:val="001B518F"/>
    <w:rsid w:val="00216C4B"/>
    <w:rsid w:val="00222B94"/>
    <w:rsid w:val="0029672A"/>
    <w:rsid w:val="002E5B60"/>
    <w:rsid w:val="003D2834"/>
    <w:rsid w:val="003F305D"/>
    <w:rsid w:val="004D0BEA"/>
    <w:rsid w:val="004E2DE1"/>
    <w:rsid w:val="004F01DD"/>
    <w:rsid w:val="00524C65"/>
    <w:rsid w:val="005426E4"/>
    <w:rsid w:val="00547262"/>
    <w:rsid w:val="005E0081"/>
    <w:rsid w:val="005F2AE8"/>
    <w:rsid w:val="00606126"/>
    <w:rsid w:val="006D583C"/>
    <w:rsid w:val="00727BE1"/>
    <w:rsid w:val="00792990"/>
    <w:rsid w:val="007B4951"/>
    <w:rsid w:val="007D7F5E"/>
    <w:rsid w:val="008209D0"/>
    <w:rsid w:val="008908EF"/>
    <w:rsid w:val="0089665D"/>
    <w:rsid w:val="009B7BAA"/>
    <w:rsid w:val="009D4AC9"/>
    <w:rsid w:val="00A050D4"/>
    <w:rsid w:val="00A870A0"/>
    <w:rsid w:val="00A870EF"/>
    <w:rsid w:val="00AF2700"/>
    <w:rsid w:val="00BA235C"/>
    <w:rsid w:val="00BB0D06"/>
    <w:rsid w:val="00BE6800"/>
    <w:rsid w:val="00BF0AF3"/>
    <w:rsid w:val="00C645D1"/>
    <w:rsid w:val="00CA7A33"/>
    <w:rsid w:val="00CE4FEB"/>
    <w:rsid w:val="00D36E17"/>
    <w:rsid w:val="00D40684"/>
    <w:rsid w:val="00D4098A"/>
    <w:rsid w:val="00D41CE3"/>
    <w:rsid w:val="00DF0EE7"/>
    <w:rsid w:val="00EF312A"/>
    <w:rsid w:val="00F060D0"/>
    <w:rsid w:val="00F136B3"/>
    <w:rsid w:val="00F63815"/>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C63C1C"/>
  <w15:docId w15:val="{E7C445C2-2501-D54A-9E20-E8B4FA84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paragraph" w:styleId="NormalWeb">
    <w:name w:val="Normal (Web)"/>
    <w:basedOn w:val="Normal"/>
    <w:uiPriority w:val="99"/>
    <w:unhideWhenUsed/>
    <w:rsid w:val="008908EF"/>
    <w:pPr>
      <w:spacing w:before="100" w:beforeAutospacing="1" w:after="100" w:afterAutospacing="1" w:line="240" w:lineRule="auto"/>
    </w:pPr>
    <w:rPr>
      <w:rFonts w:cs="Times New Roman"/>
      <w:sz w:val="20"/>
      <w:szCs w:val="20"/>
      <w:lang w:val="en-US"/>
    </w:rPr>
  </w:style>
  <w:style w:type="character" w:styleId="Strong">
    <w:name w:val="Strong"/>
    <w:basedOn w:val="DefaultParagraphFont"/>
    <w:uiPriority w:val="22"/>
    <w:qFormat/>
    <w:rsid w:val="00CA7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778">
      <w:bodyDiv w:val="1"/>
      <w:marLeft w:val="0"/>
      <w:marRight w:val="0"/>
      <w:marTop w:val="0"/>
      <w:marBottom w:val="0"/>
      <w:divBdr>
        <w:top w:val="none" w:sz="0" w:space="0" w:color="auto"/>
        <w:left w:val="none" w:sz="0" w:space="0" w:color="auto"/>
        <w:bottom w:val="none" w:sz="0" w:space="0" w:color="auto"/>
        <w:right w:val="none" w:sz="0" w:space="0" w:color="auto"/>
      </w:divBdr>
    </w:div>
    <w:div w:id="64037739">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40731600">
      <w:bodyDiv w:val="1"/>
      <w:marLeft w:val="0"/>
      <w:marRight w:val="0"/>
      <w:marTop w:val="0"/>
      <w:marBottom w:val="0"/>
      <w:divBdr>
        <w:top w:val="none" w:sz="0" w:space="0" w:color="auto"/>
        <w:left w:val="none" w:sz="0" w:space="0" w:color="auto"/>
        <w:bottom w:val="none" w:sz="0" w:space="0" w:color="auto"/>
        <w:right w:val="none" w:sz="0" w:space="0" w:color="auto"/>
      </w:divBdr>
    </w:div>
    <w:div w:id="192348876">
      <w:bodyDiv w:val="1"/>
      <w:marLeft w:val="0"/>
      <w:marRight w:val="0"/>
      <w:marTop w:val="0"/>
      <w:marBottom w:val="0"/>
      <w:divBdr>
        <w:top w:val="none" w:sz="0" w:space="0" w:color="auto"/>
        <w:left w:val="none" w:sz="0" w:space="0" w:color="auto"/>
        <w:bottom w:val="none" w:sz="0" w:space="0" w:color="auto"/>
        <w:right w:val="none" w:sz="0" w:space="0" w:color="auto"/>
      </w:divBdr>
    </w:div>
    <w:div w:id="206071546">
      <w:bodyDiv w:val="1"/>
      <w:marLeft w:val="0"/>
      <w:marRight w:val="0"/>
      <w:marTop w:val="0"/>
      <w:marBottom w:val="0"/>
      <w:divBdr>
        <w:top w:val="none" w:sz="0" w:space="0" w:color="auto"/>
        <w:left w:val="none" w:sz="0" w:space="0" w:color="auto"/>
        <w:bottom w:val="none" w:sz="0" w:space="0" w:color="auto"/>
        <w:right w:val="none" w:sz="0" w:space="0" w:color="auto"/>
      </w:divBdr>
    </w:div>
    <w:div w:id="265772948">
      <w:bodyDiv w:val="1"/>
      <w:marLeft w:val="0"/>
      <w:marRight w:val="0"/>
      <w:marTop w:val="0"/>
      <w:marBottom w:val="0"/>
      <w:divBdr>
        <w:top w:val="none" w:sz="0" w:space="0" w:color="auto"/>
        <w:left w:val="none" w:sz="0" w:space="0" w:color="auto"/>
        <w:bottom w:val="none" w:sz="0" w:space="0" w:color="auto"/>
        <w:right w:val="none" w:sz="0" w:space="0" w:color="auto"/>
      </w:divBdr>
    </w:div>
    <w:div w:id="279842056">
      <w:bodyDiv w:val="1"/>
      <w:marLeft w:val="0"/>
      <w:marRight w:val="0"/>
      <w:marTop w:val="0"/>
      <w:marBottom w:val="0"/>
      <w:divBdr>
        <w:top w:val="none" w:sz="0" w:space="0" w:color="auto"/>
        <w:left w:val="none" w:sz="0" w:space="0" w:color="auto"/>
        <w:bottom w:val="none" w:sz="0" w:space="0" w:color="auto"/>
        <w:right w:val="none" w:sz="0" w:space="0" w:color="auto"/>
      </w:divBdr>
    </w:div>
    <w:div w:id="312296534">
      <w:bodyDiv w:val="1"/>
      <w:marLeft w:val="0"/>
      <w:marRight w:val="0"/>
      <w:marTop w:val="0"/>
      <w:marBottom w:val="0"/>
      <w:divBdr>
        <w:top w:val="none" w:sz="0" w:space="0" w:color="auto"/>
        <w:left w:val="none" w:sz="0" w:space="0" w:color="auto"/>
        <w:bottom w:val="none" w:sz="0" w:space="0" w:color="auto"/>
        <w:right w:val="none" w:sz="0" w:space="0" w:color="auto"/>
      </w:divBdr>
    </w:div>
    <w:div w:id="372272836">
      <w:bodyDiv w:val="1"/>
      <w:marLeft w:val="0"/>
      <w:marRight w:val="0"/>
      <w:marTop w:val="0"/>
      <w:marBottom w:val="0"/>
      <w:divBdr>
        <w:top w:val="none" w:sz="0" w:space="0" w:color="auto"/>
        <w:left w:val="none" w:sz="0" w:space="0" w:color="auto"/>
        <w:bottom w:val="none" w:sz="0" w:space="0" w:color="auto"/>
        <w:right w:val="none" w:sz="0" w:space="0" w:color="auto"/>
      </w:divBdr>
    </w:div>
    <w:div w:id="407851973">
      <w:bodyDiv w:val="1"/>
      <w:marLeft w:val="0"/>
      <w:marRight w:val="0"/>
      <w:marTop w:val="0"/>
      <w:marBottom w:val="0"/>
      <w:divBdr>
        <w:top w:val="none" w:sz="0" w:space="0" w:color="auto"/>
        <w:left w:val="none" w:sz="0" w:space="0" w:color="auto"/>
        <w:bottom w:val="none" w:sz="0" w:space="0" w:color="auto"/>
        <w:right w:val="none" w:sz="0" w:space="0" w:color="auto"/>
      </w:divBdr>
    </w:div>
    <w:div w:id="445929551">
      <w:bodyDiv w:val="1"/>
      <w:marLeft w:val="0"/>
      <w:marRight w:val="0"/>
      <w:marTop w:val="0"/>
      <w:marBottom w:val="0"/>
      <w:divBdr>
        <w:top w:val="none" w:sz="0" w:space="0" w:color="auto"/>
        <w:left w:val="none" w:sz="0" w:space="0" w:color="auto"/>
        <w:bottom w:val="none" w:sz="0" w:space="0" w:color="auto"/>
        <w:right w:val="none" w:sz="0" w:space="0" w:color="auto"/>
      </w:divBdr>
    </w:div>
    <w:div w:id="476461522">
      <w:bodyDiv w:val="1"/>
      <w:marLeft w:val="0"/>
      <w:marRight w:val="0"/>
      <w:marTop w:val="0"/>
      <w:marBottom w:val="0"/>
      <w:divBdr>
        <w:top w:val="none" w:sz="0" w:space="0" w:color="auto"/>
        <w:left w:val="none" w:sz="0" w:space="0" w:color="auto"/>
        <w:bottom w:val="none" w:sz="0" w:space="0" w:color="auto"/>
        <w:right w:val="none" w:sz="0" w:space="0" w:color="auto"/>
      </w:divBdr>
    </w:div>
    <w:div w:id="525217466">
      <w:bodyDiv w:val="1"/>
      <w:marLeft w:val="0"/>
      <w:marRight w:val="0"/>
      <w:marTop w:val="0"/>
      <w:marBottom w:val="0"/>
      <w:divBdr>
        <w:top w:val="none" w:sz="0" w:space="0" w:color="auto"/>
        <w:left w:val="none" w:sz="0" w:space="0" w:color="auto"/>
        <w:bottom w:val="none" w:sz="0" w:space="0" w:color="auto"/>
        <w:right w:val="none" w:sz="0" w:space="0" w:color="auto"/>
      </w:divBdr>
    </w:div>
    <w:div w:id="545876394">
      <w:bodyDiv w:val="1"/>
      <w:marLeft w:val="0"/>
      <w:marRight w:val="0"/>
      <w:marTop w:val="0"/>
      <w:marBottom w:val="0"/>
      <w:divBdr>
        <w:top w:val="none" w:sz="0" w:space="0" w:color="auto"/>
        <w:left w:val="none" w:sz="0" w:space="0" w:color="auto"/>
        <w:bottom w:val="none" w:sz="0" w:space="0" w:color="auto"/>
        <w:right w:val="none" w:sz="0" w:space="0" w:color="auto"/>
      </w:divBdr>
    </w:div>
    <w:div w:id="597251608">
      <w:bodyDiv w:val="1"/>
      <w:marLeft w:val="0"/>
      <w:marRight w:val="0"/>
      <w:marTop w:val="0"/>
      <w:marBottom w:val="0"/>
      <w:divBdr>
        <w:top w:val="none" w:sz="0" w:space="0" w:color="auto"/>
        <w:left w:val="none" w:sz="0" w:space="0" w:color="auto"/>
        <w:bottom w:val="none" w:sz="0" w:space="0" w:color="auto"/>
        <w:right w:val="none" w:sz="0" w:space="0" w:color="auto"/>
      </w:divBdr>
    </w:div>
    <w:div w:id="666175735">
      <w:bodyDiv w:val="1"/>
      <w:marLeft w:val="0"/>
      <w:marRight w:val="0"/>
      <w:marTop w:val="0"/>
      <w:marBottom w:val="0"/>
      <w:divBdr>
        <w:top w:val="none" w:sz="0" w:space="0" w:color="auto"/>
        <w:left w:val="none" w:sz="0" w:space="0" w:color="auto"/>
        <w:bottom w:val="none" w:sz="0" w:space="0" w:color="auto"/>
        <w:right w:val="none" w:sz="0" w:space="0" w:color="auto"/>
      </w:divBdr>
    </w:div>
    <w:div w:id="750546791">
      <w:bodyDiv w:val="1"/>
      <w:marLeft w:val="0"/>
      <w:marRight w:val="0"/>
      <w:marTop w:val="0"/>
      <w:marBottom w:val="0"/>
      <w:divBdr>
        <w:top w:val="none" w:sz="0" w:space="0" w:color="auto"/>
        <w:left w:val="none" w:sz="0" w:space="0" w:color="auto"/>
        <w:bottom w:val="none" w:sz="0" w:space="0" w:color="auto"/>
        <w:right w:val="none" w:sz="0" w:space="0" w:color="auto"/>
      </w:divBdr>
    </w:div>
    <w:div w:id="799879094">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960458943">
      <w:bodyDiv w:val="1"/>
      <w:marLeft w:val="0"/>
      <w:marRight w:val="0"/>
      <w:marTop w:val="0"/>
      <w:marBottom w:val="0"/>
      <w:divBdr>
        <w:top w:val="none" w:sz="0" w:space="0" w:color="auto"/>
        <w:left w:val="none" w:sz="0" w:space="0" w:color="auto"/>
        <w:bottom w:val="none" w:sz="0" w:space="0" w:color="auto"/>
        <w:right w:val="none" w:sz="0" w:space="0" w:color="auto"/>
      </w:divBdr>
    </w:div>
    <w:div w:id="1054156981">
      <w:bodyDiv w:val="1"/>
      <w:marLeft w:val="0"/>
      <w:marRight w:val="0"/>
      <w:marTop w:val="0"/>
      <w:marBottom w:val="0"/>
      <w:divBdr>
        <w:top w:val="none" w:sz="0" w:space="0" w:color="auto"/>
        <w:left w:val="none" w:sz="0" w:space="0" w:color="auto"/>
        <w:bottom w:val="none" w:sz="0" w:space="0" w:color="auto"/>
        <w:right w:val="none" w:sz="0" w:space="0" w:color="auto"/>
      </w:divBdr>
    </w:div>
    <w:div w:id="1077676403">
      <w:bodyDiv w:val="1"/>
      <w:marLeft w:val="0"/>
      <w:marRight w:val="0"/>
      <w:marTop w:val="0"/>
      <w:marBottom w:val="0"/>
      <w:divBdr>
        <w:top w:val="none" w:sz="0" w:space="0" w:color="auto"/>
        <w:left w:val="none" w:sz="0" w:space="0" w:color="auto"/>
        <w:bottom w:val="none" w:sz="0" w:space="0" w:color="auto"/>
        <w:right w:val="none" w:sz="0" w:space="0" w:color="auto"/>
      </w:divBdr>
    </w:div>
    <w:div w:id="1078330348">
      <w:bodyDiv w:val="1"/>
      <w:marLeft w:val="0"/>
      <w:marRight w:val="0"/>
      <w:marTop w:val="0"/>
      <w:marBottom w:val="0"/>
      <w:divBdr>
        <w:top w:val="none" w:sz="0" w:space="0" w:color="auto"/>
        <w:left w:val="none" w:sz="0" w:space="0" w:color="auto"/>
        <w:bottom w:val="none" w:sz="0" w:space="0" w:color="auto"/>
        <w:right w:val="none" w:sz="0" w:space="0" w:color="auto"/>
      </w:divBdr>
    </w:div>
    <w:div w:id="1188985910">
      <w:bodyDiv w:val="1"/>
      <w:marLeft w:val="0"/>
      <w:marRight w:val="0"/>
      <w:marTop w:val="0"/>
      <w:marBottom w:val="0"/>
      <w:divBdr>
        <w:top w:val="none" w:sz="0" w:space="0" w:color="auto"/>
        <w:left w:val="none" w:sz="0" w:space="0" w:color="auto"/>
        <w:bottom w:val="none" w:sz="0" w:space="0" w:color="auto"/>
        <w:right w:val="none" w:sz="0" w:space="0" w:color="auto"/>
      </w:divBdr>
    </w:div>
    <w:div w:id="1200512863">
      <w:bodyDiv w:val="1"/>
      <w:marLeft w:val="0"/>
      <w:marRight w:val="0"/>
      <w:marTop w:val="0"/>
      <w:marBottom w:val="0"/>
      <w:divBdr>
        <w:top w:val="none" w:sz="0" w:space="0" w:color="auto"/>
        <w:left w:val="none" w:sz="0" w:space="0" w:color="auto"/>
        <w:bottom w:val="none" w:sz="0" w:space="0" w:color="auto"/>
        <w:right w:val="none" w:sz="0" w:space="0" w:color="auto"/>
      </w:divBdr>
    </w:div>
    <w:div w:id="1339430971">
      <w:bodyDiv w:val="1"/>
      <w:marLeft w:val="0"/>
      <w:marRight w:val="0"/>
      <w:marTop w:val="0"/>
      <w:marBottom w:val="0"/>
      <w:divBdr>
        <w:top w:val="none" w:sz="0" w:space="0" w:color="auto"/>
        <w:left w:val="none" w:sz="0" w:space="0" w:color="auto"/>
        <w:bottom w:val="none" w:sz="0" w:space="0" w:color="auto"/>
        <w:right w:val="none" w:sz="0" w:space="0" w:color="auto"/>
      </w:divBdr>
    </w:div>
    <w:div w:id="1354764553">
      <w:bodyDiv w:val="1"/>
      <w:marLeft w:val="0"/>
      <w:marRight w:val="0"/>
      <w:marTop w:val="0"/>
      <w:marBottom w:val="0"/>
      <w:divBdr>
        <w:top w:val="none" w:sz="0" w:space="0" w:color="auto"/>
        <w:left w:val="none" w:sz="0" w:space="0" w:color="auto"/>
        <w:bottom w:val="none" w:sz="0" w:space="0" w:color="auto"/>
        <w:right w:val="none" w:sz="0" w:space="0" w:color="auto"/>
      </w:divBdr>
    </w:div>
    <w:div w:id="1449811159">
      <w:bodyDiv w:val="1"/>
      <w:marLeft w:val="0"/>
      <w:marRight w:val="0"/>
      <w:marTop w:val="0"/>
      <w:marBottom w:val="0"/>
      <w:divBdr>
        <w:top w:val="none" w:sz="0" w:space="0" w:color="auto"/>
        <w:left w:val="none" w:sz="0" w:space="0" w:color="auto"/>
        <w:bottom w:val="none" w:sz="0" w:space="0" w:color="auto"/>
        <w:right w:val="none" w:sz="0" w:space="0" w:color="auto"/>
      </w:divBdr>
    </w:div>
    <w:div w:id="1516309254">
      <w:bodyDiv w:val="1"/>
      <w:marLeft w:val="0"/>
      <w:marRight w:val="0"/>
      <w:marTop w:val="0"/>
      <w:marBottom w:val="0"/>
      <w:divBdr>
        <w:top w:val="none" w:sz="0" w:space="0" w:color="auto"/>
        <w:left w:val="none" w:sz="0" w:space="0" w:color="auto"/>
        <w:bottom w:val="none" w:sz="0" w:space="0" w:color="auto"/>
        <w:right w:val="none" w:sz="0" w:space="0" w:color="auto"/>
      </w:divBdr>
    </w:div>
    <w:div w:id="1563324616">
      <w:bodyDiv w:val="1"/>
      <w:marLeft w:val="0"/>
      <w:marRight w:val="0"/>
      <w:marTop w:val="0"/>
      <w:marBottom w:val="0"/>
      <w:divBdr>
        <w:top w:val="none" w:sz="0" w:space="0" w:color="auto"/>
        <w:left w:val="none" w:sz="0" w:space="0" w:color="auto"/>
        <w:bottom w:val="none" w:sz="0" w:space="0" w:color="auto"/>
        <w:right w:val="none" w:sz="0" w:space="0" w:color="auto"/>
      </w:divBdr>
    </w:div>
    <w:div w:id="1568569013">
      <w:bodyDiv w:val="1"/>
      <w:marLeft w:val="0"/>
      <w:marRight w:val="0"/>
      <w:marTop w:val="0"/>
      <w:marBottom w:val="0"/>
      <w:divBdr>
        <w:top w:val="none" w:sz="0" w:space="0" w:color="auto"/>
        <w:left w:val="none" w:sz="0" w:space="0" w:color="auto"/>
        <w:bottom w:val="none" w:sz="0" w:space="0" w:color="auto"/>
        <w:right w:val="none" w:sz="0" w:space="0" w:color="auto"/>
      </w:divBdr>
    </w:div>
    <w:div w:id="1643004964">
      <w:bodyDiv w:val="1"/>
      <w:marLeft w:val="0"/>
      <w:marRight w:val="0"/>
      <w:marTop w:val="0"/>
      <w:marBottom w:val="0"/>
      <w:divBdr>
        <w:top w:val="none" w:sz="0" w:space="0" w:color="auto"/>
        <w:left w:val="none" w:sz="0" w:space="0" w:color="auto"/>
        <w:bottom w:val="none" w:sz="0" w:space="0" w:color="auto"/>
        <w:right w:val="none" w:sz="0" w:space="0" w:color="auto"/>
      </w:divBdr>
    </w:div>
    <w:div w:id="1685207916">
      <w:bodyDiv w:val="1"/>
      <w:marLeft w:val="0"/>
      <w:marRight w:val="0"/>
      <w:marTop w:val="0"/>
      <w:marBottom w:val="0"/>
      <w:divBdr>
        <w:top w:val="none" w:sz="0" w:space="0" w:color="auto"/>
        <w:left w:val="none" w:sz="0" w:space="0" w:color="auto"/>
        <w:bottom w:val="none" w:sz="0" w:space="0" w:color="auto"/>
        <w:right w:val="none" w:sz="0" w:space="0" w:color="auto"/>
      </w:divBdr>
    </w:div>
    <w:div w:id="1703094854">
      <w:bodyDiv w:val="1"/>
      <w:marLeft w:val="0"/>
      <w:marRight w:val="0"/>
      <w:marTop w:val="0"/>
      <w:marBottom w:val="0"/>
      <w:divBdr>
        <w:top w:val="none" w:sz="0" w:space="0" w:color="auto"/>
        <w:left w:val="none" w:sz="0" w:space="0" w:color="auto"/>
        <w:bottom w:val="none" w:sz="0" w:space="0" w:color="auto"/>
        <w:right w:val="none" w:sz="0" w:space="0" w:color="auto"/>
      </w:divBdr>
    </w:div>
    <w:div w:id="1751190590">
      <w:bodyDiv w:val="1"/>
      <w:marLeft w:val="0"/>
      <w:marRight w:val="0"/>
      <w:marTop w:val="0"/>
      <w:marBottom w:val="0"/>
      <w:divBdr>
        <w:top w:val="none" w:sz="0" w:space="0" w:color="auto"/>
        <w:left w:val="none" w:sz="0" w:space="0" w:color="auto"/>
        <w:bottom w:val="none" w:sz="0" w:space="0" w:color="auto"/>
        <w:right w:val="none" w:sz="0" w:space="0" w:color="auto"/>
      </w:divBdr>
    </w:div>
    <w:div w:id="1799688612">
      <w:bodyDiv w:val="1"/>
      <w:marLeft w:val="0"/>
      <w:marRight w:val="0"/>
      <w:marTop w:val="0"/>
      <w:marBottom w:val="0"/>
      <w:divBdr>
        <w:top w:val="none" w:sz="0" w:space="0" w:color="auto"/>
        <w:left w:val="none" w:sz="0" w:space="0" w:color="auto"/>
        <w:bottom w:val="none" w:sz="0" w:space="0" w:color="auto"/>
        <w:right w:val="none" w:sz="0" w:space="0" w:color="auto"/>
      </w:divBdr>
    </w:div>
    <w:div w:id="1813327350">
      <w:bodyDiv w:val="1"/>
      <w:marLeft w:val="0"/>
      <w:marRight w:val="0"/>
      <w:marTop w:val="0"/>
      <w:marBottom w:val="0"/>
      <w:divBdr>
        <w:top w:val="none" w:sz="0" w:space="0" w:color="auto"/>
        <w:left w:val="none" w:sz="0" w:space="0" w:color="auto"/>
        <w:bottom w:val="none" w:sz="0" w:space="0" w:color="auto"/>
        <w:right w:val="none" w:sz="0" w:space="0" w:color="auto"/>
      </w:divBdr>
    </w:div>
    <w:div w:id="1892959494">
      <w:bodyDiv w:val="1"/>
      <w:marLeft w:val="0"/>
      <w:marRight w:val="0"/>
      <w:marTop w:val="0"/>
      <w:marBottom w:val="0"/>
      <w:divBdr>
        <w:top w:val="none" w:sz="0" w:space="0" w:color="auto"/>
        <w:left w:val="none" w:sz="0" w:space="0" w:color="auto"/>
        <w:bottom w:val="none" w:sz="0" w:space="0" w:color="auto"/>
        <w:right w:val="none" w:sz="0" w:space="0" w:color="auto"/>
      </w:divBdr>
    </w:div>
    <w:div w:id="1899364886">
      <w:bodyDiv w:val="1"/>
      <w:marLeft w:val="0"/>
      <w:marRight w:val="0"/>
      <w:marTop w:val="0"/>
      <w:marBottom w:val="0"/>
      <w:divBdr>
        <w:top w:val="none" w:sz="0" w:space="0" w:color="auto"/>
        <w:left w:val="none" w:sz="0" w:space="0" w:color="auto"/>
        <w:bottom w:val="none" w:sz="0" w:space="0" w:color="auto"/>
        <w:right w:val="none" w:sz="0" w:space="0" w:color="auto"/>
      </w:divBdr>
    </w:div>
    <w:div w:id="2113282045">
      <w:bodyDiv w:val="1"/>
      <w:marLeft w:val="0"/>
      <w:marRight w:val="0"/>
      <w:marTop w:val="0"/>
      <w:marBottom w:val="0"/>
      <w:divBdr>
        <w:top w:val="none" w:sz="0" w:space="0" w:color="auto"/>
        <w:left w:val="none" w:sz="0" w:space="0" w:color="auto"/>
        <w:bottom w:val="none" w:sz="0" w:space="0" w:color="auto"/>
        <w:right w:val="none" w:sz="0" w:space="0" w:color="auto"/>
      </w:divBdr>
    </w:div>
    <w:div w:id="21472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FORENSCIC%20ASSSIGNMENT:APA%207%20copy.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APA%207%20copy.dotx</Template>
  <TotalTime>0</TotalTime>
  <Pages>1</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EYE BEAT</dc:creator>
  <cp:keywords/>
  <dc:description/>
  <cp:lastModifiedBy>nyoike31@gmail.com</cp:lastModifiedBy>
  <cp:revision>2</cp:revision>
  <dcterms:created xsi:type="dcterms:W3CDTF">2021-03-05T05:53:00Z</dcterms:created>
  <dcterms:modified xsi:type="dcterms:W3CDTF">2021-03-05T05:53:00Z</dcterms:modified>
</cp:coreProperties>
</file>